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F8" w:rsidRPr="00BA02F8" w:rsidRDefault="004C5C12" w:rsidP="00BA02F8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bookmarkStart w:id="0" w:name="_GoBack"/>
      <w:bookmarkEnd w:id="0"/>
      <w:r w:rsidR="00BA02F8" w:rsidRPr="00BA02F8">
        <w:rPr>
          <w:rFonts w:ascii="Garamond" w:hAnsi="Garamond"/>
          <w:sz w:val="22"/>
          <w:szCs w:val="22"/>
        </w:rPr>
        <w:t>Załącznik nr 1 do decyzji</w:t>
      </w:r>
    </w:p>
    <w:p w:rsidR="00BA02F8" w:rsidRPr="00BA02F8" w:rsidRDefault="00BA02F8" w:rsidP="00BA02F8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BA02F8">
        <w:rPr>
          <w:rFonts w:ascii="Garamond" w:hAnsi="Garamond"/>
          <w:sz w:val="22"/>
          <w:szCs w:val="22"/>
        </w:rPr>
        <w:t xml:space="preserve">Burmistrza Sędziszowa </w:t>
      </w:r>
    </w:p>
    <w:p w:rsidR="00BA02F8" w:rsidRPr="00BA02F8" w:rsidRDefault="00BA02F8" w:rsidP="00BA02F8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BA02F8">
        <w:rPr>
          <w:rFonts w:ascii="Garamond" w:hAnsi="Garamond"/>
          <w:sz w:val="22"/>
          <w:szCs w:val="22"/>
        </w:rPr>
        <w:t xml:space="preserve">z dnia </w:t>
      </w:r>
      <w:r w:rsidR="00B70FA0">
        <w:rPr>
          <w:rFonts w:ascii="Garamond" w:hAnsi="Garamond"/>
          <w:sz w:val="22"/>
          <w:szCs w:val="22"/>
        </w:rPr>
        <w:t>18</w:t>
      </w:r>
      <w:r w:rsidR="000226FA">
        <w:rPr>
          <w:rFonts w:ascii="Garamond" w:hAnsi="Garamond"/>
          <w:sz w:val="22"/>
          <w:szCs w:val="22"/>
        </w:rPr>
        <w:t>.0</w:t>
      </w:r>
      <w:r w:rsidR="00B70FA0">
        <w:rPr>
          <w:rFonts w:ascii="Garamond" w:hAnsi="Garamond"/>
          <w:sz w:val="22"/>
          <w:szCs w:val="22"/>
        </w:rPr>
        <w:t>1</w:t>
      </w:r>
      <w:r w:rsidR="000226FA">
        <w:rPr>
          <w:rFonts w:ascii="Garamond" w:hAnsi="Garamond"/>
          <w:sz w:val="22"/>
          <w:szCs w:val="22"/>
        </w:rPr>
        <w:t>.</w:t>
      </w:r>
      <w:r w:rsidRPr="00BA02F8">
        <w:rPr>
          <w:rFonts w:ascii="Garamond" w:hAnsi="Garamond"/>
          <w:sz w:val="22"/>
          <w:szCs w:val="22"/>
        </w:rPr>
        <w:t>20</w:t>
      </w:r>
      <w:r w:rsidR="00B70FA0">
        <w:rPr>
          <w:rFonts w:ascii="Garamond" w:hAnsi="Garamond"/>
          <w:sz w:val="22"/>
          <w:szCs w:val="22"/>
        </w:rPr>
        <w:t xml:space="preserve">23 </w:t>
      </w:r>
      <w:r w:rsidRPr="00BA02F8">
        <w:rPr>
          <w:rFonts w:ascii="Garamond" w:hAnsi="Garamond"/>
          <w:sz w:val="22"/>
          <w:szCs w:val="22"/>
        </w:rPr>
        <w:t>r .</w:t>
      </w:r>
    </w:p>
    <w:p w:rsidR="00BA02F8" w:rsidRPr="00BA02F8" w:rsidRDefault="00BA02F8" w:rsidP="00BA02F8">
      <w:pPr>
        <w:autoSpaceDE w:val="0"/>
        <w:autoSpaceDN w:val="0"/>
        <w:adjustRightInd w:val="0"/>
        <w:jc w:val="right"/>
        <w:rPr>
          <w:rFonts w:ascii="Garamond" w:hAnsi="Garamond"/>
          <w:sz w:val="22"/>
          <w:szCs w:val="22"/>
        </w:rPr>
      </w:pPr>
      <w:r w:rsidRPr="00BA02F8">
        <w:rPr>
          <w:rFonts w:ascii="Garamond" w:hAnsi="Garamond"/>
          <w:sz w:val="22"/>
          <w:szCs w:val="22"/>
        </w:rPr>
        <w:t>nr OŚ.6220.</w:t>
      </w:r>
      <w:r w:rsidR="00B70FA0">
        <w:rPr>
          <w:rFonts w:ascii="Garamond" w:hAnsi="Garamond"/>
          <w:sz w:val="22"/>
          <w:szCs w:val="22"/>
        </w:rPr>
        <w:t>1</w:t>
      </w:r>
      <w:r w:rsidR="000226FA">
        <w:rPr>
          <w:rFonts w:ascii="Garamond" w:hAnsi="Garamond"/>
          <w:sz w:val="22"/>
          <w:szCs w:val="22"/>
        </w:rPr>
        <w:t>.1</w:t>
      </w:r>
      <w:r w:rsidR="00B70FA0">
        <w:rPr>
          <w:rFonts w:ascii="Garamond" w:hAnsi="Garamond"/>
          <w:sz w:val="22"/>
          <w:szCs w:val="22"/>
        </w:rPr>
        <w:t>1</w:t>
      </w:r>
      <w:r w:rsidR="000226FA">
        <w:rPr>
          <w:rFonts w:ascii="Garamond" w:hAnsi="Garamond"/>
          <w:sz w:val="22"/>
          <w:szCs w:val="22"/>
        </w:rPr>
        <w:t>.</w:t>
      </w:r>
      <w:r w:rsidRPr="00BA02F8">
        <w:rPr>
          <w:rFonts w:ascii="Garamond" w:hAnsi="Garamond"/>
          <w:sz w:val="22"/>
          <w:szCs w:val="22"/>
        </w:rPr>
        <w:t>20</w:t>
      </w:r>
      <w:r w:rsidR="00B70FA0">
        <w:rPr>
          <w:rFonts w:ascii="Garamond" w:hAnsi="Garamond"/>
          <w:sz w:val="22"/>
          <w:szCs w:val="22"/>
        </w:rPr>
        <w:t>22</w:t>
      </w:r>
    </w:p>
    <w:p w:rsidR="00BA02F8" w:rsidRPr="00BA02F8" w:rsidRDefault="00BA02F8" w:rsidP="00BA02F8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BA02F8" w:rsidRPr="00BA02F8" w:rsidRDefault="00BA02F8" w:rsidP="00BA02F8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  <w:u w:val="single"/>
        </w:rPr>
      </w:pPr>
      <w:r w:rsidRPr="00BA02F8">
        <w:rPr>
          <w:rFonts w:ascii="Garamond" w:hAnsi="Garamond"/>
          <w:b/>
          <w:sz w:val="22"/>
          <w:szCs w:val="22"/>
          <w:u w:val="single"/>
        </w:rPr>
        <w:t>Charakterystyka przedsięwzięcia</w:t>
      </w:r>
    </w:p>
    <w:p w:rsidR="00BA02F8" w:rsidRPr="00BA02F8" w:rsidRDefault="00BA02F8" w:rsidP="00BA02F8">
      <w:pPr>
        <w:autoSpaceDE w:val="0"/>
        <w:autoSpaceDN w:val="0"/>
        <w:adjustRightInd w:val="0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BA02F8" w:rsidRPr="00AD5EF9" w:rsidRDefault="00BA02F8" w:rsidP="00BA02F8">
      <w:pPr>
        <w:pStyle w:val="Tekstpodstawowy"/>
        <w:widowControl w:val="0"/>
        <w:spacing w:after="120" w:line="276" w:lineRule="auto"/>
        <w:jc w:val="both"/>
        <w:rPr>
          <w:sz w:val="22"/>
          <w:szCs w:val="22"/>
        </w:rPr>
      </w:pPr>
      <w:r w:rsidRPr="001D1355">
        <w:rPr>
          <w:sz w:val="22"/>
          <w:szCs w:val="22"/>
        </w:rPr>
        <w:t xml:space="preserve">pod nazwą: </w:t>
      </w:r>
      <w:r w:rsidR="00B70FA0" w:rsidRPr="00B70FA0">
        <w:rPr>
          <w:b/>
          <w:sz w:val="22"/>
          <w:szCs w:val="22"/>
        </w:rPr>
        <w:t>„ROZBUDOWA ZAKŁADU PALKO SP. Z O.O. W M. GNIEWIĘCIN, GM. SĘDZISZÓW”</w:t>
      </w:r>
      <w:r>
        <w:rPr>
          <w:b/>
          <w:sz w:val="22"/>
          <w:szCs w:val="22"/>
        </w:rPr>
        <w:t>,</w:t>
      </w:r>
      <w:r w:rsidRPr="001D1355">
        <w:rPr>
          <w:sz w:val="22"/>
          <w:szCs w:val="22"/>
        </w:rPr>
        <w:t xml:space="preserve"> realizowanego przez </w:t>
      </w:r>
      <w:r w:rsidR="00B70FA0">
        <w:rPr>
          <w:sz w:val="22"/>
          <w:szCs w:val="22"/>
        </w:rPr>
        <w:t>Palko Sp. z o.o.</w:t>
      </w:r>
      <w:r>
        <w:rPr>
          <w:sz w:val="22"/>
          <w:szCs w:val="22"/>
        </w:rPr>
        <w:t xml:space="preserve">, </w:t>
      </w:r>
      <w:r w:rsidR="00B70FA0" w:rsidRPr="00B70FA0">
        <w:rPr>
          <w:sz w:val="22"/>
          <w:szCs w:val="22"/>
        </w:rPr>
        <w:t>Gniewięcin 190, 28-340 Sędziszów</w:t>
      </w:r>
      <w:r w:rsidRPr="001D1355">
        <w:rPr>
          <w:sz w:val="22"/>
          <w:szCs w:val="22"/>
        </w:rPr>
        <w:t>.</w:t>
      </w:r>
    </w:p>
    <w:p w:rsidR="00BA02F8" w:rsidRPr="00BA02F8" w:rsidRDefault="00BA02F8" w:rsidP="00BA02F8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Przedmiotem przedsięwzięcia jest rozbudowa zakładu PALKO Sp. z o. o. w miejscowości Gniewięcin, gmina Sędziszów, planowanego do realizacji na działkach o numerach 863/1, 863/2, 863/4, 863/5, 863/6. Całkowita powierzchnia ww. działek wynosi ok. 10,1 ha. 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Zgodnie z wypisem z ewidencji gruntów działki inwestycyjne stanowią teren przemysłowy oznaczony symbolem Ba, poza częścią – ok. 0,33 ha działki nr 863/6 oznaczoną symbolem Bi – inne tereny zabudowane. 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Dla terenu przedmiotowej inwestycji obowiązują ustalenia miejscowego planu zagospodarowania przestrzennego przyjętego Uchwałą nr III/10/2010 Rady Miejskiej w Sędziszowie z dnia 30 grudnia 2010 r. w sprawie miejscowego planu zagospodarowania przestrzennego miasta Sędziszów (Dz. Urz. Woj. </w:t>
      </w:r>
      <w:proofErr w:type="spellStart"/>
      <w:r w:rsidRPr="008B1B40">
        <w:rPr>
          <w:rFonts w:ascii="Garamond" w:eastAsia="Times New Roman" w:hAnsi="Garamond"/>
          <w:bCs/>
          <w:sz w:val="22"/>
          <w:szCs w:val="22"/>
        </w:rPr>
        <w:t>Święt</w:t>
      </w:r>
      <w:proofErr w:type="spellEnd"/>
      <w:r w:rsidRPr="008B1B40">
        <w:rPr>
          <w:rFonts w:ascii="Garamond" w:eastAsia="Times New Roman" w:hAnsi="Garamond"/>
          <w:bCs/>
          <w:sz w:val="22"/>
          <w:szCs w:val="22"/>
        </w:rPr>
        <w:t xml:space="preserve">. z dnia 7 marca 2011 r., Nr 58, poz. 681) wraz z późniejszymi zmianami , tj. Uchwała 3 </w:t>
      </w:r>
      <w:r>
        <w:rPr>
          <w:rFonts w:ascii="Garamond" w:eastAsia="Times New Roman" w:hAnsi="Garamond"/>
          <w:bCs/>
          <w:sz w:val="22"/>
          <w:szCs w:val="22"/>
        </w:rPr>
        <w:t>nr VI/34/2011 z </w:t>
      </w:r>
      <w:r w:rsidRPr="008B1B40">
        <w:rPr>
          <w:rFonts w:ascii="Garamond" w:eastAsia="Times New Roman" w:hAnsi="Garamond"/>
          <w:bCs/>
          <w:sz w:val="22"/>
          <w:szCs w:val="22"/>
        </w:rPr>
        <w:t>dnia 4 marca 2011 r., Uchwała nr XXXII/233/2013 z dnia 27 marca 2013 r. oraz Uchwała nr XXVII/223/2020 z dnia 29 września 2020 r. Działki inwestycyjne oznaczone są w ww. planie symbolem P1 – tereny obiektów produkcyjnych, składów i magazynów.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W bezpośrednim sąsiedztwie działek inwestycyjnych, zgodnie z ww. planem, znajdują się: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- od strony północnej i zachodniej – tereny oznaczone symbolem P1 – tereny obiektów produkcyjnych, składów i magazynów,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- od strony południowej – tereny oznaczone symbolem R – tereny rolnicze,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- od strony wschodniej – tereny oznaczone symbolem KDW – tereny komunikacji drogowej, drogi 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wewnętrzne, dalej tereny KK – tereny komunikacji kolejowej, a za nimi tereny MNR – tereny zabudowy mieszkaniowej jednorodzinnej i zagrodowej oraz R – tereny rolnicze.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Wjazd na teren działek inwestycyjnych odbywa się od strony wschodniej.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Najbliższe tereny chronione akustycznie względem terenu przedsięwzięcia zlokalizowane są w kierunku wschodnim w odległości ok. 140 m i zgodnie z obowiązującym miejscowym planem zagospodarowania przestrzennego oznaczone są symbolem MNR – tereny zabudowy</w:t>
      </w:r>
      <w:r>
        <w:rPr>
          <w:rFonts w:ascii="Garamond" w:eastAsia="Times New Roman" w:hAnsi="Garamond"/>
          <w:bCs/>
          <w:sz w:val="22"/>
          <w:szCs w:val="22"/>
        </w:rPr>
        <w:t xml:space="preserve"> mieszkaniowej jednorodzinnej i </w:t>
      </w:r>
      <w:r w:rsidRPr="008B1B40">
        <w:rPr>
          <w:rFonts w:ascii="Garamond" w:eastAsia="Times New Roman" w:hAnsi="Garamond"/>
          <w:bCs/>
          <w:sz w:val="22"/>
          <w:szCs w:val="22"/>
        </w:rPr>
        <w:t xml:space="preserve">zagrodowej. 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Zakres zamierzenia obejmuje budowę:</w:t>
      </w:r>
    </w:p>
    <w:p w:rsidR="00B70FA0" w:rsidRPr="008B1B40" w:rsidRDefault="00B70FA0" w:rsidP="00B70FA0">
      <w:pPr>
        <w:numPr>
          <w:ilvl w:val="0"/>
          <w:numId w:val="4"/>
        </w:numPr>
        <w:ind w:left="426"/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trzykomorowej suszarni drewna o powierzchni zabudowy ok. 310 m</w:t>
      </w:r>
      <w:r w:rsidRPr="003C5512">
        <w:rPr>
          <w:rFonts w:ascii="Garamond" w:eastAsia="Times New Roman" w:hAnsi="Garamond"/>
          <w:bCs/>
          <w:sz w:val="22"/>
          <w:szCs w:val="22"/>
          <w:vertAlign w:val="superscript"/>
        </w:rPr>
        <w:t>2</w:t>
      </w:r>
      <w:r w:rsidRPr="008B1B40">
        <w:rPr>
          <w:rFonts w:ascii="Garamond" w:eastAsia="Times New Roman" w:hAnsi="Garamond"/>
          <w:bCs/>
          <w:sz w:val="22"/>
          <w:szCs w:val="22"/>
        </w:rPr>
        <w:t xml:space="preserve"> na działce nr 863/1,</w:t>
      </w:r>
    </w:p>
    <w:p w:rsidR="00B70FA0" w:rsidRPr="008B1B40" w:rsidRDefault="00B70FA0" w:rsidP="00B70FA0">
      <w:pPr>
        <w:numPr>
          <w:ilvl w:val="0"/>
          <w:numId w:val="4"/>
        </w:numPr>
        <w:ind w:left="426"/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dwóch wiat na palety o powierzchni zabudowy ok. 2000 m</w:t>
      </w:r>
      <w:r w:rsidRPr="003C5512">
        <w:rPr>
          <w:rFonts w:ascii="Garamond" w:eastAsia="Times New Roman" w:hAnsi="Garamond"/>
          <w:bCs/>
          <w:sz w:val="22"/>
          <w:szCs w:val="22"/>
          <w:vertAlign w:val="superscript"/>
        </w:rPr>
        <w:t>2</w:t>
      </w:r>
      <w:r w:rsidRPr="008B1B40">
        <w:rPr>
          <w:rFonts w:ascii="Garamond" w:eastAsia="Times New Roman" w:hAnsi="Garamond"/>
          <w:bCs/>
          <w:sz w:val="22"/>
          <w:szCs w:val="22"/>
        </w:rPr>
        <w:t xml:space="preserve"> każda, rozdzielonych od siebie ścianą ogniową, z dokami załadunkowymi, na działce nr 863/1,</w:t>
      </w:r>
    </w:p>
    <w:p w:rsidR="00B70FA0" w:rsidRPr="008B1B40" w:rsidRDefault="00B70FA0" w:rsidP="00B70FA0">
      <w:pPr>
        <w:numPr>
          <w:ilvl w:val="0"/>
          <w:numId w:val="3"/>
        </w:numPr>
        <w:ind w:left="426"/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utwardzonych placów manewrowych oraz dróg dojazdowych o łącznej powierzchni ok. 4000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2</w:t>
      </w:r>
      <w:r w:rsidRPr="008B1B40">
        <w:rPr>
          <w:rFonts w:ascii="Garamond" w:eastAsia="Times New Roman" w:hAnsi="Garamond"/>
          <w:bCs/>
          <w:sz w:val="22"/>
          <w:szCs w:val="22"/>
        </w:rPr>
        <w:t>, na działce nr 863/1,</w:t>
      </w:r>
    </w:p>
    <w:p w:rsidR="00B70FA0" w:rsidRPr="008B1B40" w:rsidRDefault="00B70FA0" w:rsidP="00B70FA0">
      <w:pPr>
        <w:numPr>
          <w:ilvl w:val="0"/>
          <w:numId w:val="2"/>
        </w:numPr>
        <w:ind w:left="426"/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kotłowni z magazynem paliwa (biomasy) o powierzchnia zabudowy ok. 1000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2</w:t>
      </w:r>
      <w:r w:rsidRPr="008B1B40">
        <w:rPr>
          <w:rFonts w:ascii="Garamond" w:eastAsia="Times New Roman" w:hAnsi="Garamond"/>
          <w:bCs/>
          <w:sz w:val="22"/>
          <w:szCs w:val="22"/>
        </w:rPr>
        <w:t>, na działce nr 863/6.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Działka nr 863/1 o powierzchni ok. 1,7 ha stanowi obecnie teren nieuży</w:t>
      </w:r>
      <w:r>
        <w:rPr>
          <w:rFonts w:ascii="Garamond" w:eastAsia="Times New Roman" w:hAnsi="Garamond"/>
          <w:bCs/>
          <w:sz w:val="22"/>
          <w:szCs w:val="22"/>
        </w:rPr>
        <w:t>tkowany, porośnięty drzewami. W </w:t>
      </w:r>
      <w:r w:rsidRPr="008B1B40">
        <w:rPr>
          <w:rFonts w:ascii="Garamond" w:eastAsia="Times New Roman" w:hAnsi="Garamond"/>
          <w:bCs/>
          <w:sz w:val="22"/>
          <w:szCs w:val="22"/>
        </w:rPr>
        <w:t>ramach przedsięwzięcia przewiduje się przekształcenie całej powierzchni działki. W ramach rozbudowy kotłowni planowany jest dodatkowy kocioł na biomasę o mocy znamionowej 6 MW (tj. 6,7 MW mocy cieplnej).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Moc znamionowa dwóch istniejących kotłów na biomasę wynosi 1,5 MW i 3 MW, co odpowiada mocy cieplnej rozumianej jako ilość energii wprowadzonej w paliwie do instalacji w jednostce czasu przy nominalnym obciążeniu tych instalacji, odpowiednio 1,67 MW i 3,3 MW i łącznie daje 4,97 MW. 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Działalnością spółki jest produkcja opakowań drewnianych – palet.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Surowiec do produkcji dostarczany jest w postaci desek, kantówki, klocka wiórowego i magazynowany na placu. W okresie od maja do września część materiału poddawana jest impregnacji (deski i kantówka są świeże - nie suszone). Następnie surowiec transportowany jest na halę. W większości przypadków surowiec jest gotowy pod wymiar i podawany na linie produkcyjne, na których następuje zbicie palet. </w:t>
      </w:r>
      <w:r>
        <w:rPr>
          <w:rFonts w:ascii="Garamond" w:eastAsia="Times New Roman" w:hAnsi="Garamond"/>
          <w:bCs/>
          <w:sz w:val="22"/>
          <w:szCs w:val="22"/>
        </w:rPr>
        <w:t>W </w:t>
      </w:r>
      <w:r w:rsidRPr="008B1B40">
        <w:rPr>
          <w:rFonts w:ascii="Garamond" w:eastAsia="Times New Roman" w:hAnsi="Garamond"/>
          <w:bCs/>
          <w:sz w:val="22"/>
          <w:szCs w:val="22"/>
        </w:rPr>
        <w:t>5% materiał jest dodatkowo obrabiany (frezowany, docinany, strugany) i następnie dostarczany na linię produkcyjną.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lastRenderedPageBreak/>
        <w:t xml:space="preserve">Zbite palety gromadzone są na „placu palet mokrych”, gdzie oczekują na proces suszenia w komorach suszarniczych zasilanych w energię cieplną z zakładowej kotłowni. Po procesie suszenia palety są odkładane na magazyn wyrobu gotowego lub (jeśli tego wymaga klient) transportowane do malarni w celu pomalowania farbami wodorozcieńczalnymi i następnie odstawiane do magazynu wyrobu gotowego, gdzie oczekują na załadunek i wysyłkę. Po realizacji zamierzenia proces produkcyjny nie ulegnie zmianie, jedynie gotowe palety magazynowane będą również pod planowanymi wiatami. 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Aktualnie do produkcji wykorzystuje się drewno w ilości ok. 157 100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/rok, po realizacji zamierzenia ilość ta zwiększy się do ok. 165 000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Po rozbudowie planowana docelowa miesięczna wydajność produkcyjna wyniesie ok. 350 000 palet, miesięczny przerób wyniesie ok. 14 000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 xml:space="preserve"> drewna.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Działalność prowadzona będzie w porze dziennej i nocnej od ponied</w:t>
      </w:r>
      <w:r>
        <w:rPr>
          <w:rFonts w:ascii="Garamond" w:eastAsia="Times New Roman" w:hAnsi="Garamond"/>
          <w:bCs/>
          <w:sz w:val="22"/>
          <w:szCs w:val="22"/>
        </w:rPr>
        <w:t>ziałku do piątku oraz w soboty w </w:t>
      </w:r>
      <w:r w:rsidRPr="008B1B40">
        <w:rPr>
          <w:rFonts w:ascii="Garamond" w:eastAsia="Times New Roman" w:hAnsi="Garamond"/>
          <w:bCs/>
          <w:sz w:val="22"/>
          <w:szCs w:val="22"/>
        </w:rPr>
        <w:t>godzinach od 6.00 do 13.00.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Na etapie eksploatacji wykorzystywana będzie: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- woda na cele bytowe i technologiczne (malowanie palet farbami wodorozcieńczalnymi) – z własnego ujęcia wody na warunkach pozwolenia wodnoprawnego (decyzja Starosty Jędrzejowskiego znak: </w:t>
      </w:r>
      <w:r w:rsidR="0040144E">
        <w:rPr>
          <w:rFonts w:ascii="Garamond" w:eastAsia="Times New Roman" w:hAnsi="Garamond"/>
          <w:bCs/>
          <w:sz w:val="22"/>
          <w:szCs w:val="22"/>
        </w:rPr>
        <w:t>6341.15.2015 z </w:t>
      </w:r>
      <w:r w:rsidRPr="008B1B40">
        <w:rPr>
          <w:rFonts w:ascii="Garamond" w:eastAsia="Times New Roman" w:hAnsi="Garamond"/>
          <w:bCs/>
          <w:sz w:val="22"/>
          <w:szCs w:val="22"/>
        </w:rPr>
        <w:t>dnia 21.04.2015 r.), przewiduje się zwiększenie zużycia wody z ok. 750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 do ok. 800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 (maksymalna roczna wydajność ujęcia zgodnie z ww. decyzją wynosi 2 190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/rok),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- energia elektryczna – z sieci zewnętrznej na warunkach zarządcy, przewiduje się zwiększenie zużycia energii elektrycznej z ok. 4 520 MWh/rok do ok. 4 900 MWh/rok,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 xml:space="preserve">- energia cieplna: paliwo – biomasa, przewiduje się zużycie trocin na dotychczasowym poziomie, tj. ok. 2 100 </w:t>
      </w:r>
      <w:proofErr w:type="spellStart"/>
      <w:r w:rsidRPr="008B1B40">
        <w:rPr>
          <w:rFonts w:ascii="Garamond" w:eastAsia="Times New Roman" w:hAnsi="Garamond"/>
          <w:bCs/>
          <w:sz w:val="22"/>
          <w:szCs w:val="22"/>
        </w:rPr>
        <w:t>mp</w:t>
      </w:r>
      <w:proofErr w:type="spellEnd"/>
      <w:r w:rsidRPr="008B1B40">
        <w:rPr>
          <w:rFonts w:ascii="Garamond" w:eastAsia="Times New Roman" w:hAnsi="Garamond"/>
          <w:bCs/>
          <w:sz w:val="22"/>
          <w:szCs w:val="22"/>
        </w:rPr>
        <w:t xml:space="preserve">/rok i zwiększenie zużycia zrębki z 1 300 </w:t>
      </w:r>
      <w:proofErr w:type="spellStart"/>
      <w:r w:rsidRPr="008B1B40">
        <w:rPr>
          <w:rFonts w:ascii="Garamond" w:eastAsia="Times New Roman" w:hAnsi="Garamond"/>
          <w:bCs/>
          <w:sz w:val="22"/>
          <w:szCs w:val="22"/>
        </w:rPr>
        <w:t>mp</w:t>
      </w:r>
      <w:proofErr w:type="spellEnd"/>
      <w:r w:rsidRPr="008B1B40">
        <w:rPr>
          <w:rFonts w:ascii="Garamond" w:eastAsia="Times New Roman" w:hAnsi="Garamond"/>
          <w:bCs/>
          <w:sz w:val="22"/>
          <w:szCs w:val="22"/>
        </w:rPr>
        <w:t xml:space="preserve">/rok do ok. 2 000 </w:t>
      </w:r>
      <w:proofErr w:type="spellStart"/>
      <w:r w:rsidRPr="008B1B40">
        <w:rPr>
          <w:rFonts w:ascii="Garamond" w:eastAsia="Times New Roman" w:hAnsi="Garamond"/>
          <w:bCs/>
          <w:sz w:val="22"/>
          <w:szCs w:val="22"/>
        </w:rPr>
        <w:t>mp</w:t>
      </w:r>
      <w:proofErr w:type="spellEnd"/>
      <w:r w:rsidRPr="008B1B40">
        <w:rPr>
          <w:rFonts w:ascii="Garamond" w:eastAsia="Times New Roman" w:hAnsi="Garamond"/>
          <w:bCs/>
          <w:sz w:val="22"/>
          <w:szCs w:val="22"/>
        </w:rPr>
        <w:t>/rok,</w:t>
      </w:r>
    </w:p>
    <w:p w:rsidR="00B70FA0" w:rsidRPr="008B1B40" w:rsidRDefault="00B70FA0" w:rsidP="00B70FA0">
      <w:pPr>
        <w:jc w:val="both"/>
        <w:rPr>
          <w:rFonts w:ascii="Garamond" w:eastAsia="Times New Roman" w:hAnsi="Garamond"/>
          <w:bCs/>
          <w:sz w:val="22"/>
          <w:szCs w:val="22"/>
        </w:rPr>
      </w:pPr>
      <w:r w:rsidRPr="008B1B40">
        <w:rPr>
          <w:rFonts w:ascii="Garamond" w:eastAsia="Times New Roman" w:hAnsi="Garamond"/>
          <w:bCs/>
          <w:sz w:val="22"/>
          <w:szCs w:val="22"/>
        </w:rPr>
        <w:t>- drewno – materiał do produkcji palet - przewiduje się zwiększenie wykorzystywanego drewna z ok. 157 100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 do ok. 165 000 m</w:t>
      </w:r>
      <w:r w:rsidRPr="008B1B40">
        <w:rPr>
          <w:rFonts w:ascii="Garamond" w:eastAsia="Times New Roman" w:hAnsi="Garamond"/>
          <w:bCs/>
          <w:sz w:val="22"/>
          <w:szCs w:val="22"/>
          <w:vertAlign w:val="superscript"/>
        </w:rPr>
        <w:t>3</w:t>
      </w:r>
      <w:r w:rsidRPr="008B1B40">
        <w:rPr>
          <w:rFonts w:ascii="Garamond" w:eastAsia="Times New Roman" w:hAnsi="Garamond"/>
          <w:bCs/>
          <w:sz w:val="22"/>
          <w:szCs w:val="22"/>
        </w:rPr>
        <w:t>/rok.</w:t>
      </w:r>
    </w:p>
    <w:p w:rsidR="00BA02F8" w:rsidRDefault="00BA02F8"/>
    <w:sectPr w:rsidR="00BA02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20" w:rsidRDefault="006E2F20" w:rsidP="000226FA">
      <w:r>
        <w:separator/>
      </w:r>
    </w:p>
  </w:endnote>
  <w:endnote w:type="continuationSeparator" w:id="0">
    <w:p w:rsidR="006E2F20" w:rsidRDefault="006E2F20" w:rsidP="0002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3126"/>
      <w:docPartObj>
        <w:docPartGallery w:val="Page Numbers (Bottom of Page)"/>
        <w:docPartUnique/>
      </w:docPartObj>
    </w:sdtPr>
    <w:sdtEndPr/>
    <w:sdtContent>
      <w:p w:rsidR="000226FA" w:rsidRDefault="000226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C12">
          <w:rPr>
            <w:noProof/>
          </w:rPr>
          <w:t>2</w:t>
        </w:r>
        <w:r>
          <w:fldChar w:fldCharType="end"/>
        </w:r>
      </w:p>
    </w:sdtContent>
  </w:sdt>
  <w:p w:rsidR="000226FA" w:rsidRDefault="000226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20" w:rsidRDefault="006E2F20" w:rsidP="000226FA">
      <w:r>
        <w:separator/>
      </w:r>
    </w:p>
  </w:footnote>
  <w:footnote w:type="continuationSeparator" w:id="0">
    <w:p w:rsidR="006E2F20" w:rsidRDefault="006E2F20" w:rsidP="0002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1146EB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34DB6122"/>
    <w:multiLevelType w:val="hybridMultilevel"/>
    <w:tmpl w:val="A606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7421"/>
    <w:multiLevelType w:val="hybridMultilevel"/>
    <w:tmpl w:val="EEDC0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F793A"/>
    <w:multiLevelType w:val="hybridMultilevel"/>
    <w:tmpl w:val="0F7E9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F8"/>
    <w:rsid w:val="000226FA"/>
    <w:rsid w:val="0040144E"/>
    <w:rsid w:val="004C5C12"/>
    <w:rsid w:val="006E2F20"/>
    <w:rsid w:val="009056D9"/>
    <w:rsid w:val="00A83E63"/>
    <w:rsid w:val="00B70FA0"/>
    <w:rsid w:val="00B77A1B"/>
    <w:rsid w:val="00BA02F8"/>
    <w:rsid w:val="00F3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2243A-820D-4F8E-B9E6-96B2C641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2F8"/>
    <w:pPr>
      <w:spacing w:after="0" w:line="240" w:lineRule="auto"/>
    </w:pPr>
    <w:rPr>
      <w:rFonts w:eastAsia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odst">
    <w:name w:val="stand_odst"/>
    <w:basedOn w:val="Normalny"/>
    <w:rsid w:val="00BA02F8"/>
    <w:pPr>
      <w:suppressAutoHyphens/>
      <w:spacing w:line="276" w:lineRule="auto"/>
      <w:ind w:firstLine="709"/>
      <w:jc w:val="both"/>
    </w:pPr>
    <w:rPr>
      <w:rFonts w:eastAsia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A02F8"/>
    <w:pPr>
      <w:spacing w:line="360" w:lineRule="auto"/>
    </w:pPr>
    <w:rPr>
      <w:rFonts w:ascii="Garamond" w:eastAsia="Times New Roman" w:hAnsi="Garamond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BA02F8"/>
    <w:rPr>
      <w:rFonts w:ascii="Garamond" w:eastAsia="Times New Roman" w:hAnsi="Garamond" w:cs="Times New Roman"/>
      <w:sz w:val="26"/>
      <w:szCs w:val="24"/>
      <w:lang w:eastAsia="pl-PL"/>
    </w:rPr>
  </w:style>
  <w:style w:type="paragraph" w:customStyle="1" w:styleId="kropa1">
    <w:name w:val="kropa1"/>
    <w:basedOn w:val="Normalny"/>
    <w:rsid w:val="00BA02F8"/>
    <w:pPr>
      <w:suppressAutoHyphens/>
      <w:spacing w:before="60" w:line="276" w:lineRule="auto"/>
      <w:jc w:val="both"/>
    </w:pPr>
    <w:rPr>
      <w:rFonts w:eastAsia="Times New Roman"/>
      <w:snapToGrid w:val="0"/>
      <w:szCs w:val="20"/>
      <w:lang w:eastAsia="ar-SA"/>
    </w:rPr>
  </w:style>
  <w:style w:type="paragraph" w:customStyle="1" w:styleId="standard">
    <w:name w:val="standard"/>
    <w:basedOn w:val="Normalny"/>
    <w:link w:val="standardZnak1"/>
    <w:rsid w:val="00BA02F8"/>
    <w:pPr>
      <w:tabs>
        <w:tab w:val="left" w:pos="567"/>
      </w:tabs>
      <w:spacing w:after="120"/>
      <w:jc w:val="both"/>
    </w:pPr>
    <w:rPr>
      <w:rFonts w:eastAsia="Times New Roman"/>
      <w:color w:val="FF0000"/>
      <w:szCs w:val="20"/>
    </w:rPr>
  </w:style>
  <w:style w:type="character" w:customStyle="1" w:styleId="standardZnak1">
    <w:name w:val="standard Znak1"/>
    <w:link w:val="standard"/>
    <w:rsid w:val="00BA02F8"/>
    <w:rPr>
      <w:rFonts w:eastAsia="Times New Roman" w:cs="Times New Roman"/>
      <w:color w:val="FF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26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6FA"/>
    <w:rPr>
      <w:rFonts w:eastAsia="Calibri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26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6FA"/>
    <w:rPr>
      <w:rFonts w:eastAsia="Calibri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C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12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Pawlusiński</dc:creator>
  <cp:keywords/>
  <dc:description/>
  <cp:lastModifiedBy>Przemysław Pawlusiński</cp:lastModifiedBy>
  <cp:revision>5</cp:revision>
  <cp:lastPrinted>2023-01-18T12:37:00Z</cp:lastPrinted>
  <dcterms:created xsi:type="dcterms:W3CDTF">2017-06-07T09:39:00Z</dcterms:created>
  <dcterms:modified xsi:type="dcterms:W3CDTF">2023-01-18T13:02:00Z</dcterms:modified>
</cp:coreProperties>
</file>